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6532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10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jc w:val="center"/>
              <w:rPr>
                <w:rFonts w:ascii="黑体" w:hAnsi="宋体" w:eastAsia="黑体" w:cs="Arial Unicode MS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序号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jc w:val="center"/>
              <w:rPr>
                <w:rFonts w:ascii="黑体" w:hAnsi="宋体" w:eastAsia="黑体" w:cs="Arial Unicode MS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项</w:t>
            </w:r>
            <w:r>
              <w:rPr>
                <w:rFonts w:ascii="黑体" w:hAnsi="宋体" w:eastAsia="黑体"/>
                <w:b/>
                <w:bCs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bCs/>
                <w:szCs w:val="21"/>
              </w:rPr>
              <w:t>目</w:t>
            </w:r>
          </w:p>
        </w:tc>
        <w:tc>
          <w:tcPr>
            <w:tcW w:w="671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jc w:val="center"/>
              <w:rPr>
                <w:rFonts w:ascii="黑体" w:hAnsi="宋体" w:eastAsia="黑体" w:cs="Arial Unicode MS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cs="宋体"/>
                <w:szCs w:val="21"/>
                <w:highlight w:val="yellow"/>
              </w:rPr>
              <w:t>检查设备状态、告警和指示</w:t>
            </w:r>
            <w:r>
              <w:rPr>
                <w:rFonts w:hint="eastAsia"/>
                <w:szCs w:val="21"/>
                <w:highlight w:val="yellow"/>
              </w:rPr>
              <w:t>情况。</w:t>
            </w:r>
          </w:p>
        </w:tc>
        <w:tc>
          <w:tcPr>
            <w:tcW w:w="671" w:type="pct"/>
            <w:vMerge w:val="restar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检查接触器、开关接触是否良好</w:t>
            </w:r>
          </w:p>
        </w:tc>
        <w:tc>
          <w:tcPr>
            <w:tcW w:w="671" w:type="pct"/>
            <w:vMerge w:val="continue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检查</w:t>
            </w:r>
            <w:r>
              <w:rPr>
                <w:szCs w:val="21"/>
                <w:highlight w:val="yellow"/>
              </w:rPr>
              <w:t>ATS</w:t>
            </w:r>
            <w:r>
              <w:rPr>
                <w:rFonts w:hint="eastAsia"/>
                <w:szCs w:val="21"/>
                <w:highlight w:val="yellow"/>
              </w:rPr>
              <w:t>切换开关工作状态。</w:t>
            </w:r>
          </w:p>
        </w:tc>
        <w:tc>
          <w:tcPr>
            <w:tcW w:w="671" w:type="pct"/>
            <w:vMerge w:val="continue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检查信号指示、告警是否正常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测量熔断器的温升或压降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检查功率补偿屏的工作是否正常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清洁设备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测量刀闸、母排、端子、接点、线缆的温度、温升及各相之间温差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4"/>
              <w:spacing w:line="360" w:lineRule="auto"/>
              <w:rPr>
                <w:bCs/>
                <w:szCs w:val="21"/>
                <w:highlight w:val="yellow"/>
              </w:rPr>
            </w:pPr>
            <w:r>
              <w:rPr>
                <w:rFonts w:hint="eastAsia"/>
                <w:bCs/>
                <w:szCs w:val="21"/>
                <w:highlight w:val="yellow"/>
              </w:rPr>
              <w:t>9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pStyle w:val="4"/>
              <w:spacing w:line="360" w:lineRule="auto"/>
              <w:jc w:val="both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检测</w:t>
            </w:r>
            <w:r>
              <w:rPr>
                <w:szCs w:val="21"/>
                <w:highlight w:val="yellow"/>
              </w:rPr>
              <w:t>ATS</w:t>
            </w:r>
            <w:r>
              <w:rPr>
                <w:rFonts w:hint="eastAsia"/>
                <w:szCs w:val="21"/>
                <w:highlight w:val="yellow"/>
              </w:rPr>
              <w:t>启动和转换延时设置；分别对双路电源自动、手动切换测试。</w:t>
            </w:r>
          </w:p>
        </w:tc>
        <w:tc>
          <w:tcPr>
            <w:tcW w:w="671" w:type="pct"/>
            <w:vMerge w:val="restart"/>
            <w:noWrap w:val="0"/>
            <w:vAlign w:val="center"/>
          </w:tcPr>
          <w:p>
            <w:pPr>
              <w:pStyle w:val="4"/>
              <w:spacing w:line="360" w:lineRule="auto"/>
              <w:rPr>
                <w:szCs w:val="21"/>
                <w:highlight w:val="yellow"/>
              </w:rPr>
            </w:pPr>
          </w:p>
          <w:p>
            <w:pPr>
              <w:pStyle w:val="4"/>
              <w:spacing w:line="360" w:lineRule="auto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半年</w:t>
            </w:r>
          </w:p>
          <w:p>
            <w:pPr>
              <w:pStyle w:val="4"/>
              <w:spacing w:line="360" w:lineRule="auto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4"/>
              <w:spacing w:line="360" w:lineRule="auto"/>
              <w:rPr>
                <w:bCs/>
                <w:szCs w:val="21"/>
                <w:highlight w:val="yellow"/>
              </w:rPr>
            </w:pPr>
            <w:r>
              <w:rPr>
                <w:rFonts w:hint="eastAsia"/>
                <w:bCs/>
                <w:szCs w:val="21"/>
                <w:highlight w:val="yellow"/>
              </w:rPr>
              <w:t>10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pStyle w:val="4"/>
              <w:spacing w:line="360" w:lineRule="auto"/>
              <w:jc w:val="both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检查回路投切、保护装置是否正常。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pStyle w:val="4"/>
              <w:spacing w:line="360" w:lineRule="auto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4"/>
              <w:spacing w:line="360" w:lineRule="auto"/>
              <w:rPr>
                <w:bCs/>
                <w:szCs w:val="21"/>
                <w:highlight w:val="yellow"/>
              </w:rPr>
            </w:pPr>
            <w:r>
              <w:rPr>
                <w:rFonts w:hint="eastAsia"/>
                <w:bCs/>
                <w:szCs w:val="21"/>
                <w:highlight w:val="yellow"/>
              </w:rPr>
              <w:t>11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pStyle w:val="4"/>
              <w:spacing w:line="360" w:lineRule="auto"/>
              <w:jc w:val="both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检查脱扣器的电流整定值和延时值。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pStyle w:val="4"/>
              <w:spacing w:line="360" w:lineRule="auto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  <w:highlight w:val="green"/>
              </w:rPr>
              <w:t>12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  <w:highlight w:val="green"/>
              </w:rPr>
            </w:pPr>
            <w:r>
              <w:rPr>
                <w:rFonts w:ascii="宋体" w:hAnsi="宋体"/>
                <w:szCs w:val="21"/>
                <w:highlight w:val="green"/>
              </w:rPr>
              <w:t>检查避雷器是否良好</w:t>
            </w:r>
          </w:p>
        </w:tc>
        <w:tc>
          <w:tcPr>
            <w:tcW w:w="67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  <w:highlight w:val="green"/>
              </w:rPr>
              <w:t>13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  <w:highlight w:val="green"/>
              </w:rPr>
            </w:pPr>
            <w:r>
              <w:rPr>
                <w:rFonts w:ascii="宋体" w:hAnsi="宋体"/>
                <w:szCs w:val="21"/>
                <w:highlight w:val="green"/>
              </w:rPr>
              <w:t>测量地线电阻（干季）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检查各接头处有无氧化、螺丝有无松动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校正仪表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检查、调整三相电流不平衡度≤25％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10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919" w:type="pc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检查、测试供电回路电流不超过线路额定允许值</w:t>
            </w:r>
          </w:p>
        </w:tc>
        <w:tc>
          <w:tcPr>
            <w:tcW w:w="671" w:type="pct"/>
            <w:vMerge w:val="continue"/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text"/>
    <w:basedOn w:val="1"/>
    <w:next w:val="1"/>
    <w:qFormat/>
    <w:uiPriority w:val="0"/>
    <w:pPr>
      <w:adjustRightInd/>
      <w:spacing w:line="360" w:lineRule="exact"/>
      <w:jc w:val="center"/>
      <w:textAlignment w:val="auto"/>
    </w:pPr>
    <w:rPr>
      <w:rFonts w:ascii="宋体" w:hAnsi="宋体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2024-04-22T07:16:22Z</dcterms:created>
  <dc:creator>Administrator</dc:creator>
  <cp:lastModifiedBy>Administrator</cp:lastModifiedBy>
  <dcterms:modified xsi:type="dcterms:W3CDTF">2024-04-22T07:16:56Z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F8E9817989E94680B751C44397737112</vt:lpwstr>
  </property>
</Properties>
</file>